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spacing w:line="264" w:lineRule="auto" w:before="111"/>
        <w:ind w:left="793" w:right="218" w:hanging="152"/>
        <w:jc w:val="left"/>
        <w:rPr>
          <w:rFonts w:ascii="Arial Narrow" w:hAnsi="Arial Narrow"/>
          <w:b/>
          <w:sz w:val="21"/>
        </w:rPr>
      </w:pPr>
      <w:bookmarkStart w:name="declaración de cesión y tratamiento de d" w:id="1"/>
      <w:bookmarkEnd w:id="1"/>
      <w:r>
        <w:rPr/>
      </w:r>
      <w:r>
        <w:rPr>
          <w:rFonts w:ascii="Arial Narrow" w:hAnsi="Arial Narrow"/>
          <w:b/>
          <w:w w:val="105"/>
          <w:sz w:val="21"/>
        </w:rPr>
        <w:t>DECLARACIÓN</w:t>
      </w:r>
      <w:r>
        <w:rPr>
          <w:rFonts w:ascii="Arial Narrow" w:hAnsi="Arial Narrow"/>
          <w:b/>
          <w:spacing w:val="-12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DE</w:t>
      </w:r>
      <w:r>
        <w:rPr>
          <w:rFonts w:ascii="Arial Narrow" w:hAnsi="Arial Narrow"/>
          <w:b/>
          <w:spacing w:val="-11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CESIÓN</w:t>
      </w:r>
      <w:r>
        <w:rPr>
          <w:rFonts w:ascii="Arial Narrow" w:hAnsi="Arial Narrow"/>
          <w:b/>
          <w:spacing w:val="-11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Y</w:t>
      </w:r>
      <w:r>
        <w:rPr>
          <w:rFonts w:ascii="Arial Narrow" w:hAnsi="Arial Narrow"/>
          <w:b/>
          <w:spacing w:val="-12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TRATAMIENTO</w:t>
      </w:r>
      <w:r>
        <w:rPr>
          <w:rFonts w:ascii="Arial Narrow" w:hAnsi="Arial Narrow"/>
          <w:b/>
          <w:spacing w:val="-9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DE</w:t>
      </w:r>
      <w:r>
        <w:rPr>
          <w:rFonts w:ascii="Arial Narrow" w:hAnsi="Arial Narrow"/>
          <w:b/>
          <w:spacing w:val="-12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DATOS</w:t>
      </w:r>
      <w:r>
        <w:rPr>
          <w:rFonts w:ascii="Arial Narrow" w:hAnsi="Arial Narrow"/>
          <w:b/>
          <w:spacing w:val="-12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EN</w:t>
      </w:r>
      <w:r>
        <w:rPr>
          <w:rFonts w:ascii="Arial Narrow" w:hAnsi="Arial Narrow"/>
          <w:b/>
          <w:spacing w:val="-11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RELACIÓN</w:t>
      </w:r>
      <w:r>
        <w:rPr>
          <w:rFonts w:ascii="Arial Narrow" w:hAnsi="Arial Narrow"/>
          <w:b/>
          <w:spacing w:val="-11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CON</w:t>
      </w:r>
      <w:r>
        <w:rPr>
          <w:rFonts w:ascii="Arial Narrow" w:hAnsi="Arial Narrow"/>
          <w:b/>
          <w:spacing w:val="-11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LA</w:t>
      </w:r>
      <w:r>
        <w:rPr>
          <w:rFonts w:ascii="Arial Narrow" w:hAnsi="Arial Narrow"/>
          <w:b/>
          <w:spacing w:val="-10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EJECUCIÓN</w:t>
      </w:r>
      <w:r>
        <w:rPr>
          <w:rFonts w:ascii="Arial Narrow" w:hAnsi="Arial Narrow"/>
          <w:b/>
          <w:spacing w:val="-12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DE ACTUACIONES</w:t>
      </w:r>
      <w:r>
        <w:rPr>
          <w:rFonts w:ascii="Arial Narrow" w:hAnsi="Arial Narrow"/>
          <w:b/>
          <w:spacing w:val="-7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DEL</w:t>
      </w:r>
      <w:r>
        <w:rPr>
          <w:rFonts w:ascii="Arial Narrow" w:hAnsi="Arial Narrow"/>
          <w:b/>
          <w:spacing w:val="-9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PLAN</w:t>
      </w:r>
      <w:r>
        <w:rPr>
          <w:rFonts w:ascii="Arial Narrow" w:hAnsi="Arial Narrow"/>
          <w:b/>
          <w:spacing w:val="-7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DE</w:t>
      </w:r>
      <w:r>
        <w:rPr>
          <w:rFonts w:ascii="Arial Narrow" w:hAnsi="Arial Narrow"/>
          <w:b/>
          <w:spacing w:val="-9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RECUPERACIÓN,</w:t>
      </w:r>
      <w:r>
        <w:rPr>
          <w:rFonts w:ascii="Arial Narrow" w:hAnsi="Arial Narrow"/>
          <w:b/>
          <w:spacing w:val="-8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TRANSFORMACIÓN</w:t>
      </w:r>
      <w:r>
        <w:rPr>
          <w:rFonts w:ascii="Arial Narrow" w:hAnsi="Arial Narrow"/>
          <w:b/>
          <w:spacing w:val="-7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Y</w:t>
      </w:r>
      <w:r>
        <w:rPr>
          <w:rFonts w:ascii="Arial Narrow" w:hAnsi="Arial Narrow"/>
          <w:b/>
          <w:spacing w:val="-7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RESILIENCIA</w:t>
      </w:r>
      <w:r>
        <w:rPr>
          <w:rFonts w:ascii="Arial Narrow" w:hAnsi="Arial Narrow"/>
          <w:b/>
          <w:spacing w:val="-7"/>
          <w:w w:val="105"/>
          <w:sz w:val="21"/>
        </w:rPr>
        <w:t> </w:t>
      </w:r>
      <w:r>
        <w:rPr>
          <w:rFonts w:ascii="Arial Narrow" w:hAnsi="Arial Narrow"/>
          <w:b/>
          <w:w w:val="105"/>
          <w:sz w:val="21"/>
        </w:rPr>
        <w:t>(PRTR)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"/>
        <w:rPr>
          <w:rFonts w:ascii="Arial Narrow"/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699997pt;margin-top:17.34956pt;width:464.95pt;height:16.4pt;mso-position-horizontal-relative:page;mso-position-vertical-relative:paragraph;z-index:-251658240;mso-wrap-distance-left:0;mso-wrap-distance-right:0" type="#_x0000_t202" filled="true" fillcolor="#ffde58" stroked="false">
            <v:textbox inset="0,0,0,0">
              <w:txbxContent>
                <w:p>
                  <w:pPr>
                    <w:spacing w:before="8"/>
                    <w:ind w:left="11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Título del proyecto objeto de la subvención: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4"/>
        <w:rPr>
          <w:rFonts w:ascii="Arial Narrow"/>
          <w:sz w:val="20"/>
        </w:rPr>
      </w:pPr>
      <w:r>
        <w:rPr>
          <w:rFonts w:ascii="Arial Narrow"/>
          <w:sz w:val="20"/>
        </w:rPr>
        <w:pict>
          <v:shape style="width:464.95pt;height:16.3pt;mso-position-horizontal-relative:char;mso-position-vertical-relative:line" type="#_x0000_t202" filled="true" fillcolor="#ffde58" stroked="false">
            <w10:anchorlock/>
            <v:textbox inset="0,0,0,0">
              <w:txbxContent>
                <w:p>
                  <w:pPr>
                    <w:spacing w:before="8"/>
                    <w:ind w:left="11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Investigador/a principal:</w:t>
                  </w:r>
                </w:p>
              </w:txbxContent>
            </v:textbox>
            <v:fill type="solid"/>
          </v:shape>
        </w:pict>
      </w:r>
      <w:r>
        <w:rPr>
          <w:rFonts w:ascii="Arial Narrow"/>
          <w:sz w:val="20"/>
        </w:rPr>
      </w:r>
    </w:p>
    <w:p>
      <w:pPr>
        <w:pStyle w:val="BodyText"/>
        <w:spacing w:before="10"/>
        <w:rPr>
          <w:rFonts w:ascii="Arial Narrow"/>
          <w:b/>
          <w:sz w:val="23"/>
        </w:rPr>
      </w:pPr>
    </w:p>
    <w:p>
      <w:pPr>
        <w:pStyle w:val="BodyText"/>
        <w:tabs>
          <w:tab w:pos="1306" w:val="left" w:leader="none"/>
          <w:tab w:pos="5556" w:val="left" w:leader="none"/>
          <w:tab w:pos="6185" w:val="left" w:leader="none"/>
          <w:tab w:pos="7925" w:val="left" w:leader="none"/>
        </w:tabs>
        <w:spacing w:before="107"/>
        <w:ind w:left="117" w:right="218" w:hanging="16"/>
      </w:pPr>
      <w:r>
        <w:rPr/>
        <w:pict>
          <v:rect style="position:absolute;margin-left:73.699997pt;margin-top:-49.167454pt;width:465pt;height:1pt;mso-position-horizontal-relative:page;mso-position-vertical-relative:paragraph;z-index:251660288" filled="true" fillcolor="#4f81bc" stroked="false">
            <v:fill type="solid"/>
            <w10:wrap type="none"/>
          </v:rect>
        </w:pict>
      </w:r>
      <w:r>
        <w:rPr/>
        <w:pict>
          <v:rect style="position:absolute;margin-left:73.699997pt;margin-top:-31.767454pt;width:465pt;height:1pt;mso-position-horizontal-relative:page;mso-position-vertical-relative:paragraph;z-index:251661312" filled="true" fillcolor="#4f81bc" stroked="false">
            <v:fill type="solid"/>
            <w10:wrap type="none"/>
          </v:rect>
        </w:pict>
      </w:r>
      <w:r>
        <w:rPr/>
        <w:pict>
          <v:rect style="position:absolute;margin-left:73.699997pt;margin-top:-14.467454pt;width:465pt;height:1pt;mso-position-horizontal-relative:page;mso-position-vertical-relative:paragraph;z-index:251662336" filled="true" fillcolor="#4f81bc" stroked="false">
            <v:fill type="solid"/>
            <w10:wrap type="none"/>
          </v:rect>
        </w:pict>
      </w:r>
      <w:r>
        <w:rPr>
          <w:color w:val="131313"/>
          <w:w w:val="110"/>
        </w:rPr>
        <w:t>Don/Doña</w:t>
        <w:tab/>
        <w:t>…</w:t>
      </w:r>
      <w:r>
        <w:rPr>
          <w:rFonts w:ascii="Arial" w:hAnsi="Arial"/>
          <w:color w:val="131313"/>
          <w:w w:val="110"/>
        </w:rPr>
        <w:t>Julián</w:t>
      </w:r>
      <w:r>
        <w:rPr>
          <w:rFonts w:ascii="Arial" w:hAnsi="Arial"/>
          <w:color w:val="131313"/>
          <w:spacing w:val="-13"/>
          <w:w w:val="110"/>
        </w:rPr>
        <w:t> </w:t>
      </w:r>
      <w:r>
        <w:rPr>
          <w:rFonts w:ascii="Arial" w:hAnsi="Arial"/>
          <w:color w:val="131313"/>
          <w:w w:val="110"/>
        </w:rPr>
        <w:t>Martínez</w:t>
      </w:r>
      <w:r>
        <w:rPr>
          <w:rFonts w:ascii="Arial" w:hAnsi="Arial"/>
          <w:color w:val="131313"/>
          <w:spacing w:val="-12"/>
          <w:w w:val="110"/>
        </w:rPr>
        <w:t> </w:t>
      </w:r>
      <w:r>
        <w:rPr>
          <w:rFonts w:ascii="Arial" w:hAnsi="Arial"/>
          <w:color w:val="131313"/>
          <w:w w:val="110"/>
        </w:rPr>
        <w:t>Fernández…</w:t>
      </w:r>
      <w:r>
        <w:rPr>
          <w:color w:val="131313"/>
          <w:w w:val="110"/>
        </w:rPr>
        <w:t>……………,</w:t>
        <w:tab/>
        <w:t>DNI</w:t>
        <w:tab/>
      </w:r>
      <w:r>
        <w:rPr>
          <w:color w:val="131313"/>
          <w:w w:val="105"/>
        </w:rPr>
        <w:t>…</w:t>
      </w:r>
      <w:r>
        <w:rPr>
          <w:rFonts w:ascii="Arial" w:hAnsi="Arial"/>
          <w:color w:val="131313"/>
          <w:w w:val="105"/>
        </w:rPr>
        <w:t>29771900X</w:t>
      </w:r>
      <w:r>
        <w:rPr>
          <w:color w:val="131313"/>
          <w:w w:val="105"/>
        </w:rPr>
        <w:t>..,</w:t>
        <w:tab/>
      </w:r>
      <w:r>
        <w:rPr>
          <w:color w:val="131313"/>
          <w:w w:val="110"/>
        </w:rPr>
        <w:t>como Representante de la entidad ……</w:t>
      </w:r>
      <w:r>
        <w:rPr>
          <w:rFonts w:ascii="Arial" w:hAnsi="Arial"/>
          <w:color w:val="131313"/>
          <w:w w:val="110"/>
        </w:rPr>
        <w:t>Universidad de Sevilla</w:t>
      </w:r>
      <w:r>
        <w:rPr>
          <w:color w:val="131313"/>
          <w:w w:val="110"/>
        </w:rPr>
        <w:t>……………………………………….., con</w:t>
      </w:r>
      <w:r>
        <w:rPr>
          <w:color w:val="131313"/>
          <w:spacing w:val="-4"/>
          <w:w w:val="110"/>
        </w:rPr>
        <w:t> </w:t>
      </w:r>
      <w:r>
        <w:rPr>
          <w:color w:val="131313"/>
          <w:w w:val="110"/>
        </w:rPr>
        <w:t>NIF</w:t>
      </w:r>
    </w:p>
    <w:p>
      <w:pPr>
        <w:pStyle w:val="BodyText"/>
        <w:tabs>
          <w:tab w:pos="3612" w:val="left" w:leader="none"/>
          <w:tab w:pos="5111" w:val="left" w:leader="none"/>
          <w:tab w:pos="7334" w:val="left" w:leader="none"/>
          <w:tab w:pos="9191" w:val="left" w:leader="none"/>
        </w:tabs>
        <w:spacing w:before="7"/>
        <w:ind w:left="115"/>
      </w:pPr>
      <w:r>
        <w:rPr>
          <w:color w:val="131313"/>
          <w:w w:val="110"/>
        </w:rPr>
        <w:t>…</w:t>
      </w:r>
      <w:r>
        <w:rPr>
          <w:rFonts w:ascii="Arial" w:hAnsi="Arial"/>
          <w:color w:val="131313"/>
          <w:w w:val="110"/>
        </w:rPr>
        <w:t>Q4118001I</w:t>
      </w:r>
      <w:r>
        <w:rPr>
          <w:color w:val="131313"/>
          <w:w w:val="110"/>
        </w:rPr>
        <w:t>……….,</w:t>
        <w:tab/>
        <w:t>y</w:t>
        <w:tab/>
        <w:t>domicilio</w:t>
        <w:tab/>
        <w:t>fiscal</w:t>
        <w:tab/>
        <w:t>en</w:t>
      </w:r>
    </w:p>
    <w:p>
      <w:pPr>
        <w:pStyle w:val="BodyText"/>
        <w:spacing w:before="8"/>
        <w:ind w:left="115"/>
      </w:pPr>
      <w:r>
        <w:rPr>
          <w:color w:val="131313"/>
          <w:w w:val="110"/>
        </w:rPr>
        <w:t>……</w:t>
      </w:r>
      <w:r>
        <w:rPr>
          <w:rFonts w:ascii="Arial" w:hAnsi="Arial"/>
          <w:color w:val="131313"/>
          <w:w w:val="110"/>
        </w:rPr>
        <w:t>C/    San    Fernando,    4,    41004</w:t>
      </w:r>
      <w:r>
        <w:rPr>
          <w:rFonts w:ascii="Arial" w:hAnsi="Arial"/>
          <w:color w:val="131313"/>
          <w:spacing w:val="17"/>
          <w:w w:val="110"/>
        </w:rPr>
        <w:t> </w:t>
      </w:r>
      <w:r>
        <w:rPr>
          <w:rFonts w:ascii="Arial" w:hAnsi="Arial"/>
          <w:color w:val="131313"/>
          <w:w w:val="110"/>
        </w:rPr>
        <w:t>SEVILLA</w:t>
      </w:r>
      <w:r>
        <w:rPr>
          <w:color w:val="131313"/>
          <w:w w:val="110"/>
        </w:rPr>
        <w:t>……………………………………………………………………….</w:t>
      </w:r>
    </w:p>
    <w:p>
      <w:pPr>
        <w:pStyle w:val="BodyText"/>
        <w:spacing w:before="7"/>
        <w:ind w:left="116"/>
      </w:pPr>
      <w:r>
        <w:rPr>
          <w:color w:val="131313"/>
          <w:w w:val="135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line="247" w:lineRule="auto" w:before="8"/>
        <w:ind w:left="116" w:right="122"/>
        <w:jc w:val="both"/>
      </w:pPr>
      <w:r>
        <w:rPr>
          <w:color w:val="131313"/>
          <w:w w:val="110"/>
        </w:rPr>
        <w:t>………………………., beneficiaria de ayudas financiadas con recursos provenientes del PRTR en el </w:t>
      </w:r>
      <w:r>
        <w:rPr>
          <w:color w:val="131313"/>
          <w:w w:val="105"/>
        </w:rPr>
        <w:t>desarrollo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actuaciones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necesarias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para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la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consecución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los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objetivos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definidos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en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el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Componente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17</w:t>
      </w:r>
    </w:p>
    <w:p>
      <w:pPr>
        <w:pStyle w:val="BodyText"/>
        <w:spacing w:line="247" w:lineRule="auto"/>
        <w:ind w:left="116" w:right="121"/>
        <w:jc w:val="both"/>
      </w:pPr>
      <w:r>
        <w:rPr>
          <w:color w:val="131313"/>
          <w:w w:val="105"/>
        </w:rPr>
        <w:t>«Reforma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institucional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y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fortalecimiento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las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capacidades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del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sistema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nacional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ciencia,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tecnología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e innovación»,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declara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conocer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la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normativa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que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es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aplicación,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en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particular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las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siguientes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apartados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del artículo 22, del Reglamento (UE) 2021/241 del Parlamento Europeo y del Consejo, de 12 de febrero de 2021,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por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el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que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se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establece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el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Mecanismo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Recuperación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y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Resiliencia: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247" w:lineRule="auto" w:before="0" w:after="0"/>
        <w:ind w:left="116" w:right="133" w:firstLine="568"/>
        <w:jc w:val="both"/>
        <w:rPr>
          <w:sz w:val="21"/>
        </w:rPr>
      </w:pPr>
      <w:r>
        <w:rPr>
          <w:color w:val="131313"/>
          <w:w w:val="105"/>
          <w:sz w:val="21"/>
        </w:rPr>
        <w:t>La</w:t>
      </w:r>
      <w:r>
        <w:rPr>
          <w:color w:val="131313"/>
          <w:spacing w:val="-16"/>
          <w:w w:val="105"/>
          <w:sz w:val="21"/>
        </w:rPr>
        <w:t> </w:t>
      </w:r>
      <w:r>
        <w:rPr>
          <w:color w:val="131313"/>
          <w:w w:val="105"/>
          <w:sz w:val="21"/>
        </w:rPr>
        <w:t>letra</w:t>
      </w:r>
      <w:r>
        <w:rPr>
          <w:color w:val="131313"/>
          <w:spacing w:val="-13"/>
          <w:w w:val="105"/>
          <w:sz w:val="21"/>
        </w:rPr>
        <w:t> </w:t>
      </w:r>
      <w:r>
        <w:rPr>
          <w:color w:val="131313"/>
          <w:w w:val="105"/>
          <w:sz w:val="21"/>
        </w:rPr>
        <w:t>d)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131313"/>
          <w:w w:val="105"/>
          <w:sz w:val="21"/>
        </w:rPr>
        <w:t>del</w:t>
      </w:r>
      <w:r>
        <w:rPr>
          <w:color w:val="131313"/>
          <w:spacing w:val="-15"/>
          <w:w w:val="105"/>
          <w:sz w:val="21"/>
        </w:rPr>
        <w:t> </w:t>
      </w:r>
      <w:r>
        <w:rPr>
          <w:color w:val="131313"/>
          <w:w w:val="105"/>
          <w:sz w:val="21"/>
        </w:rPr>
        <w:t>apartado</w:t>
      </w:r>
      <w:r>
        <w:rPr>
          <w:color w:val="131313"/>
          <w:spacing w:val="-13"/>
          <w:w w:val="105"/>
          <w:sz w:val="21"/>
        </w:rPr>
        <w:t> </w:t>
      </w:r>
      <w:r>
        <w:rPr>
          <w:color w:val="131313"/>
          <w:w w:val="105"/>
          <w:sz w:val="21"/>
        </w:rPr>
        <w:t>2: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131313"/>
          <w:w w:val="105"/>
          <w:sz w:val="21"/>
        </w:rPr>
        <w:t>«recabar,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131313"/>
          <w:w w:val="105"/>
          <w:sz w:val="21"/>
        </w:rPr>
        <w:t>a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131313"/>
          <w:w w:val="105"/>
          <w:sz w:val="21"/>
        </w:rPr>
        <w:t>efectos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131313"/>
          <w:w w:val="105"/>
          <w:sz w:val="21"/>
        </w:rPr>
        <w:t>de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131313"/>
          <w:w w:val="105"/>
          <w:sz w:val="21"/>
        </w:rPr>
        <w:t>auditoría</w:t>
      </w:r>
      <w:r>
        <w:rPr>
          <w:color w:val="131313"/>
          <w:spacing w:val="-13"/>
          <w:w w:val="105"/>
          <w:sz w:val="21"/>
        </w:rPr>
        <w:t> </w:t>
      </w:r>
      <w:r>
        <w:rPr>
          <w:color w:val="131313"/>
          <w:w w:val="105"/>
          <w:sz w:val="21"/>
        </w:rPr>
        <w:t>y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131313"/>
          <w:w w:val="105"/>
          <w:sz w:val="21"/>
        </w:rPr>
        <w:t>control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131313"/>
          <w:w w:val="105"/>
          <w:sz w:val="21"/>
        </w:rPr>
        <w:t>del</w:t>
      </w:r>
      <w:r>
        <w:rPr>
          <w:color w:val="131313"/>
          <w:spacing w:val="-13"/>
          <w:w w:val="105"/>
          <w:sz w:val="21"/>
        </w:rPr>
        <w:t> </w:t>
      </w:r>
      <w:r>
        <w:rPr>
          <w:color w:val="131313"/>
          <w:w w:val="105"/>
          <w:sz w:val="21"/>
        </w:rPr>
        <w:t>uso</w:t>
      </w:r>
      <w:r>
        <w:rPr>
          <w:color w:val="131313"/>
          <w:spacing w:val="-16"/>
          <w:w w:val="105"/>
          <w:sz w:val="21"/>
        </w:rPr>
        <w:t> </w:t>
      </w:r>
      <w:r>
        <w:rPr>
          <w:color w:val="131313"/>
          <w:w w:val="105"/>
          <w:sz w:val="21"/>
        </w:rPr>
        <w:t>de</w:t>
      </w:r>
      <w:r>
        <w:rPr>
          <w:color w:val="131313"/>
          <w:spacing w:val="-13"/>
          <w:w w:val="105"/>
          <w:sz w:val="21"/>
        </w:rPr>
        <w:t> </w:t>
      </w:r>
      <w:r>
        <w:rPr>
          <w:color w:val="131313"/>
          <w:w w:val="105"/>
          <w:sz w:val="21"/>
        </w:rPr>
        <w:t>fondos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131313"/>
          <w:w w:val="105"/>
          <w:sz w:val="21"/>
        </w:rPr>
        <w:t>en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131313"/>
          <w:w w:val="105"/>
          <w:sz w:val="21"/>
        </w:rPr>
        <w:t>relación con las medidas destinadas a la ejecución de reformas y proyectos de inversión en el marco del plan de recuperación y resiliencia, en un formato electrónico que permita realizar búsquedas y en una base de datos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única,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las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categorías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armonizadas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de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datos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siguientes: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40" w:lineRule="auto" w:before="0" w:after="0"/>
        <w:ind w:left="829" w:right="0" w:hanging="146"/>
        <w:jc w:val="left"/>
        <w:rPr>
          <w:sz w:val="21"/>
        </w:rPr>
      </w:pPr>
      <w:r>
        <w:rPr>
          <w:color w:val="131313"/>
          <w:w w:val="105"/>
          <w:sz w:val="21"/>
        </w:rPr>
        <w:t>El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nombre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del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perceptor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final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de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los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fondos;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908" w:val="left" w:leader="none"/>
        </w:tabs>
        <w:spacing w:line="247" w:lineRule="auto" w:before="0" w:after="0"/>
        <w:ind w:left="116" w:right="129" w:firstLine="568"/>
        <w:jc w:val="both"/>
        <w:rPr>
          <w:sz w:val="21"/>
        </w:rPr>
      </w:pPr>
      <w:r>
        <w:rPr>
          <w:color w:val="131313"/>
          <w:w w:val="105"/>
          <w:sz w:val="21"/>
        </w:rPr>
        <w:t>el nombre del contratista y del subcontratista, cuando el perceptor final de los fondos sea un poder adjudicador de conformidad con el Derecho de la Unión o nacional en materia de contratación pública;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938" w:val="left" w:leader="none"/>
        </w:tabs>
        <w:spacing w:line="247" w:lineRule="auto" w:before="0" w:after="0"/>
        <w:ind w:left="116" w:right="122" w:firstLine="568"/>
        <w:jc w:val="both"/>
        <w:rPr>
          <w:sz w:val="21"/>
        </w:rPr>
      </w:pPr>
      <w:r>
        <w:rPr>
          <w:color w:val="131313"/>
          <w:w w:val="105"/>
          <w:sz w:val="21"/>
        </w:rPr>
        <w:t>los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nombres,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apellidos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y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fechas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de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nacimiento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de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los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titulares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reales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del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perceptor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de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los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fondos o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del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contratista,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según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se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define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en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el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artículo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3,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punto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6,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de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la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Directiva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(UE)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2015/849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del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Parlamento Europeo y del Consejo</w:t>
      </w:r>
      <w:r>
        <w:rPr>
          <w:color w:val="131313"/>
          <w:spacing w:val="-31"/>
          <w:w w:val="105"/>
          <w:sz w:val="21"/>
        </w:rPr>
        <w:t> </w:t>
      </w:r>
      <w:r>
        <w:rPr>
          <w:color w:val="131313"/>
          <w:w w:val="105"/>
          <w:sz w:val="21"/>
        </w:rPr>
        <w:t>(26);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7" w:lineRule="auto" w:before="0" w:after="0"/>
        <w:ind w:left="116" w:right="123" w:firstLine="568"/>
        <w:jc w:val="both"/>
        <w:rPr>
          <w:sz w:val="21"/>
        </w:rPr>
      </w:pPr>
      <w:r>
        <w:rPr>
          <w:color w:val="131313"/>
          <w:w w:val="105"/>
          <w:sz w:val="21"/>
        </w:rPr>
        <w:t>una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lista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de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medidas</w:t>
      </w:r>
      <w:r>
        <w:rPr>
          <w:color w:val="131313"/>
          <w:spacing w:val="-13"/>
          <w:w w:val="105"/>
          <w:sz w:val="21"/>
        </w:rPr>
        <w:t> </w:t>
      </w:r>
      <w:r>
        <w:rPr>
          <w:color w:val="131313"/>
          <w:w w:val="105"/>
          <w:sz w:val="21"/>
        </w:rPr>
        <w:t>para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la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ejecución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de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reformas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y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proyectos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de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inversión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en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el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marco</w:t>
      </w:r>
      <w:r>
        <w:rPr>
          <w:color w:val="131313"/>
          <w:spacing w:val="-13"/>
          <w:w w:val="105"/>
          <w:sz w:val="21"/>
        </w:rPr>
        <w:t> </w:t>
      </w:r>
      <w:r>
        <w:rPr>
          <w:color w:val="131313"/>
          <w:w w:val="105"/>
          <w:sz w:val="21"/>
        </w:rPr>
        <w:t>del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plan de recuperación y resiliencia, junto con el importe total de la financiación pública de dichas medidas y que indique la cuantía de los fondos desembolsados en el marco del Mecanismo y de otros fondos de la Unión».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0" w:after="0"/>
        <w:ind w:left="895" w:right="0" w:hanging="212"/>
        <w:jc w:val="left"/>
        <w:rPr>
          <w:sz w:val="21"/>
        </w:rPr>
      </w:pPr>
      <w:r>
        <w:rPr>
          <w:color w:val="131313"/>
          <w:w w:val="105"/>
          <w:sz w:val="21"/>
        </w:rPr>
        <w:t>Apartado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3: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«Los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datos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personales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mencionados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en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el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apartado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2,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letra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d),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del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presente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artículo</w:t>
      </w:r>
    </w:p>
    <w:p>
      <w:pPr>
        <w:spacing w:after="0" w:line="240" w:lineRule="auto"/>
        <w:jc w:val="left"/>
        <w:rPr>
          <w:sz w:val="21"/>
        </w:rPr>
        <w:sectPr>
          <w:headerReference w:type="default" r:id="rId5"/>
          <w:type w:val="continuous"/>
          <w:pgSz w:w="11910" w:h="16820"/>
          <w:pgMar w:header="765" w:top="1860" w:bottom="280" w:left="13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7" w:lineRule="auto" w:before="107"/>
        <w:ind w:left="115" w:right="123"/>
        <w:jc w:val="both"/>
      </w:pPr>
      <w:r>
        <w:rPr>
          <w:color w:val="131313"/>
          <w:w w:val="105"/>
        </w:rPr>
        <w:t>solo serán tratados por los Estados miembros y por la Comisión a los efectos y duración de la correspondiente auditoría de la aprobación de la gestión presupuestaria y de los procedimientos de control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relacionados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con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la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utilización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los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fondos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relacionados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con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la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aplicación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los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acuerdos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que se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refieren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los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artículos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15,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apartado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2,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y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23,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apartado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1.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En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el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marco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del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procedimiento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aprobación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de la gestión de la Comisión, de conformidad con el artículo 319 del TFUE, el Mecanismo estará sujeto a la presentación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informes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en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el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marco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la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información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financiera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y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rendición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cuentas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integrada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a que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se</w:t>
      </w:r>
      <w:r>
        <w:rPr>
          <w:color w:val="131313"/>
          <w:spacing w:val="-18"/>
          <w:w w:val="105"/>
        </w:rPr>
        <w:t> </w:t>
      </w:r>
      <w:r>
        <w:rPr>
          <w:color w:val="131313"/>
          <w:w w:val="105"/>
        </w:rPr>
        <w:t>refiere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el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artículo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247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del</w:t>
      </w:r>
      <w:r>
        <w:rPr>
          <w:color w:val="131313"/>
          <w:spacing w:val="-18"/>
          <w:w w:val="105"/>
        </w:rPr>
        <w:t> </w:t>
      </w:r>
      <w:r>
        <w:rPr>
          <w:color w:val="131313"/>
          <w:w w:val="105"/>
        </w:rPr>
        <w:t>Reglamento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Financiero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y,</w:t>
      </w:r>
      <w:r>
        <w:rPr>
          <w:color w:val="131313"/>
          <w:spacing w:val="-18"/>
          <w:w w:val="105"/>
        </w:rPr>
        <w:t> </w:t>
      </w:r>
      <w:r>
        <w:rPr>
          <w:color w:val="131313"/>
          <w:w w:val="105"/>
        </w:rPr>
        <w:t>en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particular,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por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separado,</w:t>
      </w:r>
      <w:r>
        <w:rPr>
          <w:color w:val="131313"/>
          <w:spacing w:val="-18"/>
          <w:w w:val="105"/>
        </w:rPr>
        <w:t> </w:t>
      </w:r>
      <w:r>
        <w:rPr>
          <w:color w:val="131313"/>
          <w:w w:val="105"/>
        </w:rPr>
        <w:t>en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el</w:t>
      </w:r>
      <w:r>
        <w:rPr>
          <w:color w:val="131313"/>
          <w:spacing w:val="-18"/>
          <w:w w:val="105"/>
        </w:rPr>
        <w:t> </w:t>
      </w:r>
      <w:r>
        <w:rPr>
          <w:color w:val="131313"/>
          <w:w w:val="105"/>
        </w:rPr>
        <w:t>informe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anual de gestión y</w:t>
      </w:r>
      <w:r>
        <w:rPr>
          <w:color w:val="131313"/>
          <w:spacing w:val="-26"/>
          <w:w w:val="105"/>
        </w:rPr>
        <w:t> </w:t>
      </w:r>
      <w:r>
        <w:rPr>
          <w:color w:val="131313"/>
          <w:w w:val="105"/>
        </w:rPr>
        <w:t>rendimiento».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47" w:lineRule="auto"/>
        <w:ind w:left="115" w:firstLine="568"/>
      </w:pPr>
      <w:r>
        <w:rPr>
          <w:color w:val="131313"/>
          <w:w w:val="105"/>
        </w:rPr>
        <w:t>Conforme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al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marco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jurídico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expuesto,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manifiesta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acceder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la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cesión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y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tratamiento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de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los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datos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con los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fines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expresamente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relacionados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en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los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artículos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citados.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684"/>
        <w:rPr>
          <w:rFonts w:ascii="Arial"/>
        </w:rPr>
      </w:pPr>
      <w:r>
        <w:rPr>
          <w:rFonts w:ascii="Arial"/>
          <w:color w:val="131313"/>
        </w:rPr>
        <w:t>En Sevilla a fecha de la firma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51"/>
        <w:ind w:left="684"/>
        <w:rPr>
          <w:rFonts w:ascii="Arial" w:hAnsi="Arial"/>
        </w:rPr>
      </w:pPr>
      <w:r>
        <w:rPr>
          <w:color w:val="131313"/>
        </w:rPr>
        <w:t>Fdo. </w:t>
      </w:r>
      <w:r>
        <w:rPr>
          <w:rFonts w:ascii="Arial" w:hAnsi="Arial"/>
          <w:color w:val="131313"/>
        </w:rPr>
        <w:t>Julián Martínez Fernández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BodyText"/>
        <w:spacing w:before="1"/>
        <w:ind w:left="684"/>
        <w:rPr>
          <w:rFonts w:ascii="Arial" w:hAnsi="Arial"/>
        </w:rPr>
      </w:pPr>
      <w:r>
        <w:rPr>
          <w:color w:val="131313"/>
        </w:rPr>
        <w:t>Cargo: </w:t>
      </w:r>
      <w:r>
        <w:rPr>
          <w:rFonts w:ascii="Arial" w:hAnsi="Arial"/>
          <w:color w:val="131313"/>
        </w:rPr>
        <w:t>Vicerrector de Investigación</w:t>
      </w:r>
    </w:p>
    <w:sectPr>
      <w:pgSz w:w="11910" w:h="16820"/>
      <w:pgMar w:header="765" w:footer="0" w:top="1860" w:bottom="280" w:left="13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51744">
          <wp:simplePos x="0" y="0"/>
          <wp:positionH relativeFrom="page">
            <wp:posOffset>5007989</wp:posOffset>
          </wp:positionH>
          <wp:positionV relativeFrom="page">
            <wp:posOffset>485634</wp:posOffset>
          </wp:positionV>
          <wp:extent cx="1700352" cy="55356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0352" cy="55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552768">
          <wp:simplePos x="0" y="0"/>
          <wp:positionH relativeFrom="page">
            <wp:posOffset>2011679</wp:posOffset>
          </wp:positionH>
          <wp:positionV relativeFrom="page">
            <wp:posOffset>560081</wp:posOffset>
          </wp:positionV>
          <wp:extent cx="935990" cy="62801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99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553792">
          <wp:simplePos x="0" y="0"/>
          <wp:positionH relativeFrom="page">
            <wp:posOffset>1055739</wp:posOffset>
          </wp:positionH>
          <wp:positionV relativeFrom="page">
            <wp:posOffset>632024</wp:posOffset>
          </wp:positionV>
          <wp:extent cx="812049" cy="49069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12049" cy="49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%1."/>
      <w:lvlJc w:val="left"/>
      <w:pPr>
        <w:ind w:left="829" w:hanging="146"/>
        <w:jc w:val="left"/>
      </w:pPr>
      <w:rPr>
        <w:rFonts w:hint="default" w:ascii="Calibri" w:hAnsi="Calibri" w:eastAsia="Calibri" w:cs="Calibri"/>
        <w:color w:val="131313"/>
        <w:w w:val="98"/>
        <w:sz w:val="21"/>
        <w:szCs w:val="21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90" w:hanging="14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1" w:hanging="14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431" w:hanging="14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02" w:hanging="14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173" w:hanging="14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043" w:hanging="14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914" w:hanging="14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784" w:hanging="146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02"/>
        <w:jc w:val="left"/>
      </w:pPr>
      <w:rPr>
        <w:rFonts w:hint="default" w:ascii="Calibri" w:hAnsi="Calibri" w:eastAsia="Calibri" w:cs="Calibri"/>
        <w:color w:val="131313"/>
        <w:spacing w:val="-1"/>
        <w:w w:val="98"/>
        <w:sz w:val="21"/>
        <w:szCs w:val="21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060" w:hanging="20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001" w:hanging="20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941" w:hanging="20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882" w:hanging="20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823" w:hanging="20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763" w:hanging="20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04" w:hanging="20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644" w:hanging="202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16" w:firstLine="568"/>
      <w:jc w:val="both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Jiménez Lara</dc:creator>
  <dc:title>Fecha:</dc:title>
  <dcterms:created xsi:type="dcterms:W3CDTF">2023-02-01T08:05:23Z</dcterms:created>
  <dcterms:modified xsi:type="dcterms:W3CDTF">2023-02-01T08:05:23Z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2023-02-01T00:00:00Z</vt:filetime>
  </property>
</Properties>
</file>