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808" w:val="left" w:leader="none"/>
          <w:tab w:pos="6526" w:val="left" w:leader="none"/>
        </w:tabs>
        <w:spacing w:line="240" w:lineRule="auto"/>
        <w:ind w:left="302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drawing>
          <wp:inline distT="0" distB="0" distL="0" distR="0">
            <wp:extent cx="807058" cy="4876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5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35800" cy="6278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703937" cy="55473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64" w:lineRule="auto" w:before="110"/>
        <w:ind w:left="793" w:right="0" w:hanging="152"/>
        <w:jc w:val="left"/>
        <w:rPr>
          <w:rFonts w:ascii="Arial Narrow" w:hAnsi="Arial Narrow"/>
          <w:b/>
          <w:sz w:val="21"/>
        </w:rPr>
      </w:pPr>
      <w:r>
        <w:rPr/>
        <w:pict>
          <v:rect style="position:absolute;margin-left:73.699997pt;margin-top:105.738647pt;width:465pt;height:1pt;mso-position-horizontal-relative:page;mso-position-vertical-relative:paragraph;z-index:251660288" filled="true" fillcolor="#4f81bc" stroked="false">
            <v:fill type="solid"/>
            <w10:wrap type="none"/>
          </v:rect>
        </w:pict>
      </w:r>
      <w:bookmarkStart w:name="declaración de cesión y tratamiento de d" w:id="1"/>
      <w:bookmarkEnd w:id="1"/>
      <w:r>
        <w:rPr/>
      </w:r>
      <w:r>
        <w:rPr>
          <w:rFonts w:ascii="Arial Narrow" w:hAnsi="Arial Narrow"/>
          <w:b/>
          <w:w w:val="105"/>
          <w:sz w:val="21"/>
        </w:rPr>
        <w:t>DECLARACIÓN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CESIÓN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Y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TRATAMIENTO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DATOS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EN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RELACIÓN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CON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LA</w:t>
      </w:r>
      <w:r>
        <w:rPr>
          <w:rFonts w:ascii="Arial Narrow" w:hAnsi="Arial Narrow"/>
          <w:b/>
          <w:spacing w:val="-10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EJECUCIÓN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 ACTUACIONES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DEL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PLAN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RECUPERACIÓN,</w:t>
      </w:r>
      <w:r>
        <w:rPr>
          <w:rFonts w:ascii="Arial Narrow" w:hAnsi="Arial Narrow"/>
          <w:b/>
          <w:spacing w:val="-8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TRANSFORMACIÓN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Y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RESILIENCIA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(PRTR)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99997pt;margin-top:17.384609pt;width:464.95pt;height:16.4pt;mso-position-horizontal-relative:page;mso-position-vertical-relative:paragraph;z-index:-251658240;mso-wrap-distance-left:0;mso-wrap-distance-right:0" type="#_x0000_t202" filled="true" fillcolor="#ffde58" stroked="false"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Título del proyecto objeto de la subvención: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4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64.95pt;height:16.3pt;mso-position-horizontal-relative:char;mso-position-vertical-relative:line" type="#_x0000_t202" filled="true" fillcolor="#ffde58" stroked="false">
            <w10:anchorlock/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Investigador/a principal:</w:t>
                  </w:r>
                </w:p>
              </w:txbxContent>
            </v:textbox>
            <v:fill type="solid"/>
          </v:shape>
        </w:pict>
      </w:r>
      <w:r>
        <w:rPr>
          <w:rFonts w:ascii="Arial Narrow"/>
          <w:sz w:val="20"/>
        </w:rPr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17"/>
        </w:rPr>
      </w:pPr>
    </w:p>
    <w:p>
      <w:pPr>
        <w:pStyle w:val="BodyText"/>
        <w:tabs>
          <w:tab w:pos="8669" w:val="left" w:leader="none"/>
        </w:tabs>
        <w:spacing w:line="247" w:lineRule="auto" w:before="107"/>
        <w:ind w:left="116" w:right="129" w:firstLine="567"/>
        <w:jc w:val="both"/>
      </w:pPr>
      <w:r>
        <w:rPr/>
        <w:pict>
          <v:rect style="position:absolute;margin-left:73.699997pt;margin-top:-62.552425pt;width:465pt;height:1pt;mso-position-horizontal-relative:page;mso-position-vertical-relative:paragraph;z-index:251661312" filled="true" fillcolor="#4f81bc" stroked="false">
            <v:fill type="solid"/>
            <w10:wrap type="none"/>
          </v:rect>
        </w:pict>
      </w:r>
      <w:r>
        <w:rPr/>
        <w:pict>
          <v:rect style="position:absolute;margin-left:73.699997pt;margin-top:-45.252426pt;width:465pt;height:1pt;mso-position-horizontal-relative:page;mso-position-vertical-relative:paragraph;z-index:251662336" filled="true" fillcolor="#4f81bc" stroked="false">
            <v:fill type="solid"/>
            <w10:wrap type="none"/>
          </v:rect>
        </w:pict>
      </w:r>
      <w:r>
        <w:rPr>
          <w:color w:val="131313"/>
        </w:rPr>
        <w:t>Don/Doña   ……</w:t>
      </w:r>
      <w:r>
        <w:rPr>
          <w:rFonts w:ascii="Arial" w:hAnsi="Arial"/>
          <w:color w:val="131313"/>
        </w:rPr>
        <w:t>Julián Martínez Fernández……   </w:t>
      </w:r>
      <w:r>
        <w:rPr>
          <w:color w:val="131313"/>
        </w:rPr>
        <w:t>,   con   DNI   …</w:t>
      </w:r>
      <w:r>
        <w:rPr>
          <w:rFonts w:ascii="Arial" w:hAnsi="Arial"/>
          <w:color w:val="131313"/>
        </w:rPr>
        <w:t>29771900X </w:t>
      </w:r>
      <w:r>
        <w:rPr>
          <w:color w:val="131313"/>
        </w:rPr>
        <w:t>..,    como Responsable legal de la entidad  ……</w:t>
      </w:r>
      <w:r>
        <w:rPr>
          <w:rFonts w:ascii="Arial" w:hAnsi="Arial"/>
          <w:color w:val="131313"/>
        </w:rPr>
        <w:t>Universidad </w:t>
      </w:r>
      <w:r>
        <w:rPr>
          <w:rFonts w:ascii="Arial" w:hAnsi="Arial"/>
          <w:color w:val="131313"/>
          <w:spacing w:val="31"/>
        </w:rPr>
        <w:t> </w:t>
      </w:r>
      <w:r>
        <w:rPr>
          <w:rFonts w:ascii="Arial" w:hAnsi="Arial"/>
          <w:color w:val="131313"/>
        </w:rPr>
        <w:t>de</w:t>
      </w:r>
      <w:r>
        <w:rPr>
          <w:rFonts w:ascii="Arial" w:hAnsi="Arial"/>
          <w:color w:val="131313"/>
          <w:spacing w:val="24"/>
        </w:rPr>
        <w:t> </w:t>
      </w:r>
      <w:r>
        <w:rPr>
          <w:rFonts w:ascii="Arial" w:hAnsi="Arial"/>
          <w:color w:val="131313"/>
        </w:rPr>
        <w:t>Sevilla………………………………</w:t>
        <w:tab/>
        <w:t>,</w:t>
      </w:r>
      <w:r>
        <w:rPr>
          <w:color w:val="131313"/>
        </w:rPr>
        <w:t>con</w:t>
      </w:r>
      <w:r>
        <w:rPr>
          <w:color w:val="131313"/>
          <w:spacing w:val="25"/>
        </w:rPr>
        <w:t> </w:t>
      </w:r>
      <w:r>
        <w:rPr>
          <w:color w:val="131313"/>
          <w:spacing w:val="-6"/>
        </w:rPr>
        <w:t>NIF</w:t>
      </w:r>
    </w:p>
    <w:p>
      <w:pPr>
        <w:pStyle w:val="BodyText"/>
        <w:tabs>
          <w:tab w:pos="3612" w:val="left" w:leader="none"/>
          <w:tab w:pos="5111" w:val="left" w:leader="none"/>
          <w:tab w:pos="7334" w:val="left" w:leader="none"/>
          <w:tab w:pos="9191" w:val="left" w:leader="none"/>
        </w:tabs>
        <w:ind w:left="115"/>
      </w:pPr>
      <w:r>
        <w:rPr>
          <w:color w:val="131313"/>
          <w:w w:val="105"/>
        </w:rPr>
        <w:t>……</w:t>
      </w:r>
      <w:r>
        <w:rPr>
          <w:rFonts w:ascii="Arial" w:hAnsi="Arial"/>
          <w:color w:val="131313"/>
          <w:w w:val="105"/>
        </w:rPr>
        <w:t>Q4118001I</w:t>
      </w:r>
      <w:r>
        <w:rPr>
          <w:color w:val="131313"/>
          <w:w w:val="105"/>
        </w:rPr>
        <w:t>….,</w:t>
        <w:tab/>
        <w:t>y</w:t>
        <w:tab/>
        <w:t>domicilio</w:t>
        <w:tab/>
        <w:t>fiscal</w:t>
        <w:tab/>
        <w:t>en</w:t>
      </w:r>
    </w:p>
    <w:p>
      <w:pPr>
        <w:pStyle w:val="BodyText"/>
        <w:spacing w:before="8"/>
        <w:ind w:left="115"/>
      </w:pPr>
      <w:r>
        <w:rPr>
          <w:color w:val="131313"/>
          <w:w w:val="110"/>
        </w:rPr>
        <w:t>………………</w:t>
      </w:r>
      <w:r>
        <w:rPr>
          <w:rFonts w:ascii="Arial" w:hAnsi="Arial"/>
          <w:color w:val="131313"/>
          <w:w w:val="110"/>
        </w:rPr>
        <w:t>C/ San Fernando, 4, 41004 SEVILLA</w:t>
      </w:r>
      <w:r>
        <w:rPr>
          <w:color w:val="131313"/>
          <w:w w:val="110"/>
        </w:rPr>
        <w:t>…………………….</w:t>
      </w:r>
    </w:p>
    <w:p>
      <w:pPr>
        <w:pStyle w:val="BodyText"/>
        <w:spacing w:before="7"/>
        <w:ind w:left="115"/>
      </w:pPr>
      <w:r>
        <w:rPr>
          <w:color w:val="131313"/>
          <w:w w:val="13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line="247" w:lineRule="auto" w:before="8"/>
        <w:ind w:left="115" w:right="124"/>
        <w:jc w:val="both"/>
      </w:pPr>
      <w:r>
        <w:rPr>
          <w:color w:val="131313"/>
          <w:w w:val="110"/>
        </w:rPr>
        <w:t>……………………….en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condición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beneficiaria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ayudas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financiadas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con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recursos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provenientes</w:t>
      </w:r>
      <w:r>
        <w:rPr>
          <w:color w:val="131313"/>
          <w:spacing w:val="-4"/>
          <w:w w:val="110"/>
        </w:rPr>
        <w:t> </w:t>
      </w:r>
      <w:r>
        <w:rPr>
          <w:color w:val="131313"/>
          <w:w w:val="110"/>
        </w:rPr>
        <w:t>del PRTR,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el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desarrollo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actuaciones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necesarias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para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consecución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los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objetivos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definidos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el Componente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17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«Reforma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institucional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fortalecimiento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capacidades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del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sistema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nacional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 ciencia, tecnología e innovación», manifiesta el compromiso de la entidad que representa con los estándares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más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exigentes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relación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con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el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cumplimiento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normas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jurídicas,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éticas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morales, adoptando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medidas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necesarias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para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prevenir</w:t>
      </w:r>
      <w:r>
        <w:rPr>
          <w:color w:val="131313"/>
          <w:spacing w:val="-14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detectar</w:t>
      </w:r>
      <w:r>
        <w:rPr>
          <w:color w:val="131313"/>
          <w:spacing w:val="-14"/>
          <w:w w:val="110"/>
        </w:rPr>
        <w:t> </w:t>
      </w:r>
      <w:r>
        <w:rPr>
          <w:color w:val="131313"/>
          <w:w w:val="110"/>
        </w:rPr>
        <w:t>el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fraude,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corrupción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los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conflictos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de interés,</w:t>
      </w:r>
      <w:r>
        <w:rPr>
          <w:color w:val="131313"/>
          <w:spacing w:val="-24"/>
          <w:w w:val="110"/>
        </w:rPr>
        <w:t> </w:t>
      </w:r>
      <w:r>
        <w:rPr>
          <w:color w:val="131313"/>
          <w:w w:val="110"/>
        </w:rPr>
        <w:t>comunicando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25"/>
          <w:w w:val="110"/>
        </w:rPr>
        <w:t> </w:t>
      </w:r>
      <w:r>
        <w:rPr>
          <w:color w:val="131313"/>
          <w:w w:val="110"/>
        </w:rPr>
        <w:t>su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caso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a</w:t>
      </w:r>
      <w:r>
        <w:rPr>
          <w:color w:val="131313"/>
          <w:spacing w:val="-25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autoridades</w:t>
      </w:r>
      <w:r>
        <w:rPr>
          <w:color w:val="131313"/>
          <w:spacing w:val="-24"/>
          <w:w w:val="110"/>
        </w:rPr>
        <w:t> </w:t>
      </w:r>
      <w:r>
        <w:rPr>
          <w:color w:val="131313"/>
          <w:w w:val="110"/>
        </w:rPr>
        <w:t>que</w:t>
      </w:r>
      <w:r>
        <w:rPr>
          <w:color w:val="131313"/>
          <w:spacing w:val="-25"/>
          <w:w w:val="110"/>
        </w:rPr>
        <w:t> </w:t>
      </w:r>
      <w:r>
        <w:rPr>
          <w:color w:val="131313"/>
          <w:w w:val="110"/>
        </w:rPr>
        <w:t>proceda</w:t>
      </w:r>
      <w:r>
        <w:rPr>
          <w:color w:val="131313"/>
          <w:spacing w:val="-25"/>
          <w:w w:val="110"/>
        </w:rPr>
        <w:t> </w:t>
      </w:r>
      <w:r>
        <w:rPr>
          <w:color w:val="131313"/>
          <w:w w:val="110"/>
        </w:rPr>
        <w:t>los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incumplimientos</w:t>
      </w:r>
      <w:r>
        <w:rPr>
          <w:color w:val="131313"/>
          <w:spacing w:val="-24"/>
          <w:w w:val="110"/>
        </w:rPr>
        <w:t> </w:t>
      </w:r>
      <w:r>
        <w:rPr>
          <w:color w:val="131313"/>
          <w:w w:val="110"/>
        </w:rPr>
        <w:t>observados.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7" w:lineRule="auto"/>
        <w:ind w:left="115" w:right="124" w:firstLine="568"/>
        <w:jc w:val="both"/>
      </w:pPr>
      <w:r>
        <w:rPr>
          <w:color w:val="131313"/>
          <w:w w:val="105"/>
        </w:rPr>
        <w:t>Adicionalmente, atendiendo al contenido del PRTR, se compromete a respetar los principios de economía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circular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evitar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impactos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negativos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significativos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medio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ambiente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(«DNSH»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por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sus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siglas en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inglés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«do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no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significant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harm»)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ejecución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las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actuaciones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llevadas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cabo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marco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dicho Plan, y manifiesta que no incurre en doble financiación y que, en su caso, no le consta riesgo de incompatibilidad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con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régimen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ayudas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84"/>
        <w:rPr>
          <w:rFonts w:ascii="Arial"/>
        </w:rPr>
      </w:pPr>
      <w:r>
        <w:rPr>
          <w:rFonts w:ascii="Arial"/>
          <w:color w:val="131313"/>
        </w:rPr>
        <w:t>En Sevilla a fecha de la firma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line="583" w:lineRule="auto" w:before="150"/>
        <w:ind w:left="684" w:right="5171"/>
      </w:pPr>
      <w:r>
        <w:rPr>
          <w:color w:val="131313"/>
          <w:w w:val="105"/>
        </w:rPr>
        <w:t>Fdo. …</w:t>
      </w:r>
      <w:r>
        <w:rPr>
          <w:rFonts w:ascii="Arial" w:hAnsi="Arial"/>
          <w:color w:val="131313"/>
          <w:w w:val="105"/>
        </w:rPr>
        <w:t>Julián Martínez Fernández</w:t>
      </w:r>
      <w:r>
        <w:rPr>
          <w:color w:val="131313"/>
          <w:w w:val="105"/>
        </w:rPr>
        <w:t>…. Cargo: …</w:t>
      </w:r>
      <w:r>
        <w:rPr>
          <w:rFonts w:ascii="Arial" w:hAnsi="Arial"/>
          <w:color w:val="131313"/>
          <w:w w:val="105"/>
        </w:rPr>
        <w:t>Vicerrector de Investigación</w:t>
      </w:r>
      <w:r>
        <w:rPr>
          <w:color w:val="131313"/>
          <w:w w:val="105"/>
        </w:rPr>
        <w:t>…</w:t>
      </w:r>
    </w:p>
    <w:sectPr>
      <w:type w:val="continuous"/>
      <w:pgSz w:w="11910" w:h="16820"/>
      <w:pgMar w:top="740" w:bottom="280" w:left="1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Jiménez Lara</dc:creator>
  <dc:title>Fecha:</dc:title>
  <dcterms:created xsi:type="dcterms:W3CDTF">2023-02-01T08:05:54Z</dcterms:created>
  <dcterms:modified xsi:type="dcterms:W3CDTF">2023-02-01T08:05:54Z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2023-02-01T00:00:00Z</vt:filetime>
  </property>
</Properties>
</file>